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DB7B">
      <w:pPr>
        <w:widowControl/>
        <w:jc w:val="center"/>
        <w:outlineLvl w:val="0"/>
        <w:rPr>
          <w:rFonts w:hint="eastAsia" w:ascii="宋体" w:hAnsi="宋体" w:eastAsia="宋体" w:cs="Times New Roman"/>
          <w:b/>
          <w:bCs/>
          <w:color w:val="auto"/>
          <w:kern w:val="28"/>
          <w:sz w:val="44"/>
          <w:highlight w:val="none"/>
          <w:lang w:val="en-US" w:eastAsia="zh-CN" w:bidi="en-US"/>
        </w:rPr>
      </w:pPr>
      <w:bookmarkStart w:id="0" w:name="_Toc18329"/>
      <w:r>
        <w:rPr>
          <w:rFonts w:hint="eastAsia" w:ascii="宋体" w:hAnsi="宋体" w:eastAsia="宋体" w:cs="Times New Roman"/>
          <w:b/>
          <w:bCs/>
          <w:color w:val="auto"/>
          <w:kern w:val="28"/>
          <w:sz w:val="44"/>
          <w:highlight w:val="none"/>
          <w:lang w:val="en-US" w:eastAsia="zh-CN" w:bidi="en-US"/>
        </w:rPr>
        <w:t>第三章  采购需求</w:t>
      </w:r>
      <w:bookmarkEnd w:id="0"/>
      <w:bookmarkStart w:id="8" w:name="_GoBack"/>
      <w:bookmarkEnd w:id="8"/>
    </w:p>
    <w:p w14:paraId="3FF92B36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</w:pPr>
      <w:bookmarkStart w:id="1" w:name="_Toc26534"/>
      <w:bookmarkStart w:id="2" w:name="_Toc1721463"/>
      <w:bookmarkStart w:id="3" w:name="_Toc106903034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一、</w:t>
      </w:r>
      <w:bookmarkEnd w:id="1"/>
      <w:bookmarkEnd w:id="2"/>
      <w:bookmarkEnd w:id="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项目概况</w:t>
      </w:r>
    </w:p>
    <w:p w14:paraId="44F8024B">
      <w:pPr>
        <w:widowControl/>
        <w:spacing w:line="400" w:lineRule="exact"/>
        <w:ind w:firstLine="482"/>
        <w:jc w:val="both"/>
        <w:rPr>
          <w:rFonts w:hint="eastAsia" w:ascii="微软雅黑" w:hAnsi="微软雅黑" w:eastAsia="微软雅黑" w:cs="Times New Roman"/>
          <w:color w:val="auto"/>
          <w:sz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本次采购项目为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河南经贸职业学院校园宣传文化升级改造项目包2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，共2个包。</w:t>
      </w:r>
    </w:p>
    <w:p w14:paraId="0CF46141">
      <w:pPr>
        <w:widowControl/>
        <w:spacing w:line="400" w:lineRule="exact"/>
        <w:ind w:firstLine="482"/>
        <w:jc w:val="both"/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本次采购标的对应的中小企业划分标准所属行业为：</w:t>
      </w:r>
      <w:r>
        <w:rPr>
          <w:rFonts w:hint="eastAsia" w:ascii="宋体" w:hAnsi="宋体" w:eastAsia="宋体" w:cs="Times New Roman"/>
          <w:b/>
          <w:bCs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工业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。</w:t>
      </w:r>
    </w:p>
    <w:p w14:paraId="16376239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4" w:name="_Toc106903035"/>
      <w:bookmarkStart w:id="5" w:name="_Toc26447"/>
      <w:bookmarkStart w:id="6" w:name="_Toc1721464"/>
      <w:bookmarkStart w:id="7" w:name="_Toc23853090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二、</w:t>
      </w:r>
      <w:bookmarkEnd w:id="4"/>
      <w:bookmarkEnd w:id="5"/>
      <w:bookmarkEnd w:id="6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招标清单及技术参数/服务要求</w:t>
      </w:r>
    </w:p>
    <w:bookmarkEnd w:id="7"/>
    <w:tbl>
      <w:tblPr>
        <w:tblStyle w:val="6"/>
        <w:tblW w:w="9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5"/>
        <w:gridCol w:w="6537"/>
        <w:gridCol w:w="675"/>
        <w:gridCol w:w="675"/>
      </w:tblGrid>
      <w:tr w14:paraId="0D5E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788A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E8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84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E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E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2F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</w:p>
        </w:tc>
      </w:tr>
      <w:tr w14:paraId="79F7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户外显示屏体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1、尺寸：2400*1200mm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2、产品LED像素点间距≤1.86mm;像素密度≥288906点/㎡，每个像素点采用1纯红1纯绿1纯蓝三像素，表贴三合一封装。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3、模组平整度0.1mm；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4、像素中心距偏差≤3%，白平衡≥450cd/m²。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5、水平/垂直视角：160°；最高对比度≥5000：1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6、支持亮度色度矫正；亮度均匀性：97%；色度均匀度：±0.003Cx，Cy之内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7、刷新率：3840Hz恒流驱动；换帧频率≥60Hz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8、亮度可随环境亮度的变化自动调节1-100%；灰度等级14/16Bit：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9、像素失控点≤1/100000，无连续失控点；色温3000K-15000K可调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10、峰值功耗≤439W/m²；平均功耗≤200W/m²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11、LED使用寿命≥100000H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CC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信号接收卡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D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1.单卡最大带载 512×512像素，最多支持 24 组RGB 并行数据；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2.支持色彩管理，将显示色域在多个色域之间自由切换，使显示屏色彩更精准。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3.支持18Bit+,使LED显示屏灰阶提升4倍，有效处理低亮时灰度丢失问题，使图像显示更细腻。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4.采用 08 个标准HUB75接口，具有高稳定性和高可靠性，适用于多种环境的搭建；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5.支持逐点亮色度校正，可以对每个灯点的亮度和色度进行校正，有效消除色差，使整屏的亮度和色度达到高度均匀一致，提高显示屏的画质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6.快速亮暗线调节在调试软件上进行快速亮暗线调节，快速解决因箱体及模组拼接造成的显示屏亮暗线，调节过程中即时生效，简单易用。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配合支持 3D 功能的独立主控，在软件或独立主控的操作面板上开启 3D 功能，并设置 3D 参数，使画面显示 3D 效果。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82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模组电源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1、输出纹波&amp;噪声≤200mV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2、输入特性：额定输入电压范围200-240Vac；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3、输入频率范围50 / 60HZ；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4、输出电压3.8-5V；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6A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性能参数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硬件性能 1.6GH, 四核CPU,3D GPU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1GB@600MHz DDR3 高速内存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支持1080p@60fps硬解码播放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支持1080p@30fps硬件编码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存储空间 内置8GB存储(用户可用4G)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带载大小 单网口65万点，整机130万点，最宽3840，最高2000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Wifi连接距离 20米（无遮挡）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51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LED播放软件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多显示屏导播:软件可同时导播多个映射位置不同的显示屏，每个显示屏可设置不同的播放方案；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多日期多时段调度功能:可设置不同的日期和时间播放不同的节目页内容；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 多节目页功能:每个播放时段可包含多个“窗口布局不同的节目页”；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多种媒体类型:支持视频，音频、图片、Flash、自定义文本、单行文本、静态文本、走马灯、模拟时钟、数字时钟、天气预报、倒计时、视频设备、网页等；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丰富的媒体属性:支持媒体的背景颜色、背景图片、透明度、音量、显示比例、出入场特效、特效速度、文字颜色、文字效果、字体、风格、透明等属性设置；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多种文字图片特效，平滑流畅:40多种常用特效，且播放时平滑流畅，无水平切割线，无撕裂；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支持时钟、倒计时、文字、文件、天气预报的透明播放；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 实用的日志管理功能,可查看任意日期的播放日志，或导出为Execel报表文件,可对任意日期的媒体做播放统计,并导出为Excel报表文件;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9C4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显示屏综合布线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E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控制线材/综合布线/线管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21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显示屏控制设备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1、规格尺寸：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12英寸</w:t>
            </w:r>
          </w:p>
          <w:p w14:paraId="47741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2、分辨率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2800*1840</w:t>
            </w:r>
          </w:p>
          <w:p w14:paraId="7DA25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3、屏幕类型：LCD，刷新率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144Hz</w:t>
            </w:r>
          </w:p>
          <w:p w14:paraId="6DEA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4、存储空间 ：运行内存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8G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128GB</w:t>
            </w:r>
          </w:p>
          <w:p w14:paraId="2573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5、后置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摄像头：≥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1300万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像素主摄像头，≥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800万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广角，前置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摄像头≥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800万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像素</w:t>
            </w:r>
          </w:p>
          <w:p w14:paraId="2AA9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6、能效等级：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一级能效</w:t>
            </w:r>
          </w:p>
          <w:p w14:paraId="37D9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7、电池容量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不小于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10100mAh</w:t>
            </w:r>
          </w:p>
          <w:p w14:paraId="5271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  <w:t>8、充电规格：支持快充，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75B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宣传栏– JMXC-ZA01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1.基层规格:20mm厚双层雪弗板基层</w:t>
            </w:r>
          </w:p>
          <w:p w14:paraId="5D04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2.尺寸规格:2600*2700mm成品定制装置</w:t>
            </w:r>
          </w:p>
          <w:p w14:paraId="0028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3.磁性画框或UV背胶贴、金属收边条与亚克力同色、15mm厚见光面白色烤</w:t>
            </w:r>
          </w:p>
          <w:p w14:paraId="62B8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漆板、面层5mm厚亚克力雕刻立体字及UV印刷、20mm厚彩色亚克力面层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B31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艺术馆专用铝合金挂画系统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1.艺术馆专用铝合金挂画轨道控制系统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2.含同步伺服电机；含减速器；驱动电；PLC；坦克链、滑台等。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3.安装部位：艺术馆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865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艺术馆专用射灯及照明控制系统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1.艺术馆专用射灯及照明控制系统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2.规格:8路继电器；通讯接口：RJ45；支持TCP客户端或服务端；支持UDP客户端或服务端；具备常开或常闭两种状态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3.安装部位：艺术馆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303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宣传栏及展板图文设计排版及修复校对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宣传栏及展板图文设计排版及修复校对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A38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3.坐凳尺寸：1800*390mm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B1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3.坐凳尺寸：1300*400mm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22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3.坐凳尺寸：800*390mm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01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3.坐凳尺寸：2300*390mm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B23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3.坐凳尺寸：3000*390mm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385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3.坐凳尺寸：1000*390mm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107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3.坐凳尺寸：2600*390mm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3F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3.坐凳尺寸：1400*390mm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E7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定制长条型木质造型坐凳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1.定制长条型木质造型坐凳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3.坐凳尺寸：2400*390mm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5C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定制不锈钢造型一体板窗框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C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1.定制不锈钢造型一体板窗框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2.不锈钢厚度：1.2mm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3.安装部位：1#2#3#4#5#楼架空层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4.窗户尺寸：1760*1150mm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04F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定制成品木纹铝方通造型金属隔断（1#2#楼架空层）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1.成品定制成品木纹铝方通造型金属隔断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2.方通规格:50*100mm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3.方通间距:80mm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4.安装部位：1#2#楼架空层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5.隔断尺寸：570*3435mm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206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定制成品铝方通造型金属隔断（3#4#5#楼架空层）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1.成品定制成品铝方通造型金属隔断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2.方通规格:50*100mm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3.方通间距:80mm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4.安装部位：3#4#5#楼架空层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5.隔断尺寸尺寸：570*4070mm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04D0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定制成品金属瓦楞造型一体饰面板（3#4#5#楼架空层）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1.定制成品金属瓦楞造型一体饰面板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2.安装部位：3#4#5#楼架空层墙面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3.尺寸：7890*1750mm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292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E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室外定制成品梁下及吊顶侧边金属装饰一体板收口造型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1.室外定制成品梁下及吊顶侧边金属装饰一体板收口造型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2.安装部位：1#2#3#4#5#楼架空层、西大门门头梁下侧边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</w:t>
            </w:r>
          </w:p>
        </w:tc>
      </w:tr>
    </w:tbl>
    <w:p w14:paraId="4FE31D40">
      <w:pPr>
        <w:widowControl/>
        <w:spacing w:before="120" w:line="360" w:lineRule="auto"/>
        <w:jc w:val="left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三、效果图（另附，通过交易中心系统下载。效果图仅作参考，以磋商文件为准。）</w:t>
      </w:r>
    </w:p>
    <w:p w14:paraId="1797E1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6131"/>
    <w:rsid w:val="03D16131"/>
    <w:rsid w:val="1AB73573"/>
    <w:rsid w:val="2708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eastAsia="仿宋"/>
      <w:b/>
      <w:bCs/>
      <w:sz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kern w:val="2"/>
      <w:sz w:val="30"/>
      <w:szCs w:val="30"/>
    </w:rPr>
  </w:style>
  <w:style w:type="paragraph" w:styleId="5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lang w:eastAsia="en-US" w:bidi="en-US"/>
    </w:rPr>
  </w:style>
  <w:style w:type="paragraph" w:customStyle="1" w:styleId="8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2024-12-04T06:16:00Z</dcterms:created>
  <dc:creator>河南省通力建设工程咨询有限公司:闫信强</dc:creator>
  <cp:lastModifiedBy>河南省通力建设工程咨询有限公司:闫信强</cp:lastModifiedBy>
  <dcterms:modified xsi:type="dcterms:W3CDTF">2024-12-04T06:17:56Z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B698AE60A20A4B7B98290DCA65659E92_11</vt:lpwstr>
  </property>
</Properties>
</file>